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08277" w14:textId="77777777" w:rsidR="00AF53FB" w:rsidRPr="00522DAC" w:rsidRDefault="00EB71E4" w:rsidP="00AF53FB">
      <w:pPr>
        <w:rPr>
          <w:rFonts w:asciiTheme="minorHAnsi" w:hAnsiTheme="minorHAnsi"/>
          <w:sz w:val="21"/>
          <w:szCs w:val="21"/>
        </w:rPr>
      </w:pPr>
      <w:bookmarkStart w:id="0" w:name="_GoBack"/>
      <w:bookmarkEnd w:id="0"/>
      <w:r w:rsidRPr="00522DAC">
        <w:rPr>
          <w:rFonts w:asciiTheme="minorHAnsi" w:hAnsiTheme="minorHAnsi" w:cs="Calibri"/>
          <w:b/>
          <w:sz w:val="21"/>
          <w:szCs w:val="21"/>
        </w:rPr>
        <w:t>Resolved</w:t>
      </w:r>
      <w:r w:rsidRPr="00522DAC">
        <w:rPr>
          <w:rFonts w:asciiTheme="minorHAnsi" w:hAnsiTheme="minorHAnsi" w:cs="Calibri"/>
          <w:sz w:val="21"/>
          <w:szCs w:val="21"/>
        </w:rPr>
        <w:t xml:space="preserve">, </w:t>
      </w:r>
      <w:r w:rsidR="00AF53FB" w:rsidRPr="00522DAC">
        <w:rPr>
          <w:rFonts w:asciiTheme="minorHAnsi" w:hAnsiTheme="minorHAnsi"/>
          <w:sz w:val="21"/>
          <w:szCs w:val="21"/>
        </w:rPr>
        <w:t>shareholders of</w:t>
      </w:r>
      <w:r w:rsidR="001D681B">
        <w:rPr>
          <w:rFonts w:asciiTheme="minorHAnsi" w:hAnsiTheme="minorHAnsi"/>
          <w:sz w:val="21"/>
          <w:szCs w:val="21"/>
        </w:rPr>
        <w:t xml:space="preserve"> </w:t>
      </w:r>
      <w:r w:rsidR="001D681B" w:rsidRPr="001D681B">
        <w:rPr>
          <w:rFonts w:asciiTheme="minorHAnsi" w:hAnsiTheme="minorHAnsi"/>
          <w:b/>
          <w:sz w:val="21"/>
          <w:szCs w:val="21"/>
        </w:rPr>
        <w:t>The Southern Company</w:t>
      </w:r>
      <w:r w:rsidR="0098287F" w:rsidRPr="0098287F">
        <w:rPr>
          <w:rFonts w:asciiTheme="minorHAnsi" w:hAnsiTheme="minorHAnsi"/>
          <w:b/>
          <w:color w:val="FF0000"/>
          <w:sz w:val="21"/>
          <w:szCs w:val="21"/>
        </w:rPr>
        <w:t xml:space="preserve"> </w:t>
      </w:r>
      <w:r w:rsidR="00AF53FB" w:rsidRPr="00522DAC">
        <w:rPr>
          <w:rFonts w:asciiTheme="minorHAnsi" w:hAnsiTheme="minorHAnsi"/>
          <w:sz w:val="21"/>
          <w:szCs w:val="21"/>
        </w:rPr>
        <w:t xml:space="preserve"> (the "Company") hereby request the Company to prepare and </w:t>
      </w:r>
      <w:r w:rsidR="00D10956" w:rsidRPr="00522DAC">
        <w:rPr>
          <w:rFonts w:asciiTheme="minorHAnsi" w:hAnsiTheme="minorHAnsi"/>
          <w:sz w:val="21"/>
          <w:szCs w:val="21"/>
        </w:rPr>
        <w:t>semiannually</w:t>
      </w:r>
      <w:r w:rsidR="00AF53FB" w:rsidRPr="00522DAC">
        <w:rPr>
          <w:rFonts w:asciiTheme="minorHAnsi" w:hAnsiTheme="minorHAnsi"/>
          <w:sz w:val="21"/>
          <w:szCs w:val="21"/>
        </w:rPr>
        <w:t xml:space="preserve"> update a report, which shall be presented to the pertinent board of directors committee and posted on the Company’s website, that discloses the Company’s–</w:t>
      </w:r>
    </w:p>
    <w:p w14:paraId="56C9F13C" w14:textId="77777777" w:rsidR="00AF53FB" w:rsidRPr="00522DAC" w:rsidRDefault="00AF53FB" w:rsidP="00AF53FB">
      <w:pPr>
        <w:rPr>
          <w:rFonts w:asciiTheme="minorHAnsi" w:hAnsiTheme="minorHAnsi"/>
          <w:sz w:val="21"/>
          <w:szCs w:val="21"/>
        </w:rPr>
      </w:pPr>
    </w:p>
    <w:p w14:paraId="1C387B1E" w14:textId="77777777" w:rsidR="00AF53FB" w:rsidRPr="00522DAC" w:rsidRDefault="00AF53FB" w:rsidP="00AF53FB">
      <w:pPr>
        <w:rPr>
          <w:rFonts w:asciiTheme="minorHAnsi" w:hAnsiTheme="minorHAnsi"/>
          <w:sz w:val="21"/>
          <w:szCs w:val="21"/>
        </w:rPr>
      </w:pPr>
      <w:r w:rsidRPr="00522DAC">
        <w:rPr>
          <w:rFonts w:asciiTheme="minorHAnsi" w:hAnsiTheme="minorHAnsi"/>
          <w:sz w:val="21"/>
          <w:szCs w:val="21"/>
        </w:rPr>
        <w:tab/>
        <w:t>(a) Policies and procedures for making political contributions and expenditures (both direct and indirect) with corporate fun</w:t>
      </w:r>
      <w:r w:rsidR="002B309F">
        <w:rPr>
          <w:rFonts w:asciiTheme="minorHAnsi" w:hAnsiTheme="minorHAnsi"/>
          <w:sz w:val="21"/>
          <w:szCs w:val="21"/>
        </w:rPr>
        <w:t xml:space="preserve">ds, including the board (and pertinent board committee’s) role </w:t>
      </w:r>
      <w:r w:rsidRPr="00522DAC">
        <w:rPr>
          <w:rFonts w:asciiTheme="minorHAnsi" w:hAnsiTheme="minorHAnsi"/>
          <w:sz w:val="21"/>
          <w:szCs w:val="21"/>
        </w:rPr>
        <w:t>in that process, and</w:t>
      </w:r>
    </w:p>
    <w:p w14:paraId="3DD7EC17" w14:textId="77777777" w:rsidR="00AF53FB" w:rsidRPr="00522DAC" w:rsidRDefault="00AF53FB" w:rsidP="00AF53FB">
      <w:pPr>
        <w:rPr>
          <w:rFonts w:asciiTheme="minorHAnsi" w:hAnsiTheme="minorHAnsi"/>
          <w:sz w:val="21"/>
          <w:szCs w:val="21"/>
        </w:rPr>
      </w:pPr>
      <w:r w:rsidRPr="00522DAC">
        <w:rPr>
          <w:rFonts w:asciiTheme="minorHAnsi" w:hAnsiTheme="minorHAnsi"/>
          <w:sz w:val="21"/>
          <w:szCs w:val="21"/>
        </w:rPr>
        <w:tab/>
        <w:t xml:space="preserve">(b) Monetary and non-monetary political contributions or expenditures that could not be deducted as an “ordinary and necessary” business expense under section 162(e) of the Internal Revenue Code; this would include (but not be limited to) contributions to or expenditures on behalf of entities organized and operating under sections 501(c)(4) of the Internal Revenue Code, as well as the portion of any dues or payments that are made to any tax-exempt organization (such as a trade association) and that are used for an expenditure or contribution that, if made directly by the Company, would not be deductible under section 162(e) of the Internal Revenue Code. </w:t>
      </w:r>
    </w:p>
    <w:p w14:paraId="1F88FF0E" w14:textId="77777777" w:rsidR="00AF53FB" w:rsidRPr="00522DAC" w:rsidRDefault="00AF53FB" w:rsidP="00AF53FB">
      <w:pPr>
        <w:rPr>
          <w:rFonts w:asciiTheme="minorHAnsi" w:hAnsiTheme="minorHAnsi"/>
          <w:sz w:val="21"/>
          <w:szCs w:val="21"/>
        </w:rPr>
      </w:pPr>
    </w:p>
    <w:p w14:paraId="65AD879D" w14:textId="77777777" w:rsidR="007B1FD6" w:rsidRDefault="00AF53FB" w:rsidP="00AF53FB">
      <w:pPr>
        <w:spacing w:after="160"/>
        <w:ind w:firstLine="720"/>
        <w:rPr>
          <w:rFonts w:ascii="Calibri" w:hAnsi="Calibri" w:cs="Calibri"/>
          <w:sz w:val="21"/>
          <w:szCs w:val="21"/>
        </w:rPr>
      </w:pPr>
      <w:r w:rsidRPr="00522DAC">
        <w:rPr>
          <w:rFonts w:asciiTheme="minorHAnsi" w:hAnsiTheme="minorHAnsi"/>
          <w:sz w:val="21"/>
          <w:szCs w:val="21"/>
        </w:rPr>
        <w:t>The report</w:t>
      </w:r>
      <w:r w:rsidR="00674885">
        <w:rPr>
          <w:rFonts w:asciiTheme="minorHAnsi" w:hAnsiTheme="minorHAnsi"/>
          <w:sz w:val="21"/>
          <w:szCs w:val="21"/>
        </w:rPr>
        <w:t xml:space="preserve"> shall be</w:t>
      </w:r>
      <w:r w:rsidR="00572F99">
        <w:rPr>
          <w:rFonts w:asciiTheme="minorHAnsi" w:hAnsiTheme="minorHAnsi"/>
          <w:sz w:val="21"/>
          <w:szCs w:val="21"/>
        </w:rPr>
        <w:t xml:space="preserve"> made available</w:t>
      </w:r>
      <w:r w:rsidR="00674885">
        <w:rPr>
          <w:rFonts w:asciiTheme="minorHAnsi" w:hAnsiTheme="minorHAnsi"/>
          <w:sz w:val="21"/>
          <w:szCs w:val="21"/>
        </w:rPr>
        <w:t xml:space="preserve"> within 12 months of the annual meeting and </w:t>
      </w:r>
      <w:r w:rsidRPr="00522DAC">
        <w:rPr>
          <w:rFonts w:asciiTheme="minorHAnsi" w:hAnsiTheme="minorHAnsi"/>
          <w:sz w:val="21"/>
          <w:szCs w:val="21"/>
        </w:rPr>
        <w:t>identify all recipients and the amount paid to each recipient from Company funds.</w:t>
      </w:r>
      <w:r w:rsidR="00674885">
        <w:rPr>
          <w:rFonts w:asciiTheme="minorHAnsi" w:hAnsiTheme="minorHAnsi"/>
          <w:sz w:val="21"/>
          <w:szCs w:val="21"/>
        </w:rPr>
        <w:t xml:space="preserve"> </w:t>
      </w:r>
      <w:r w:rsidR="00522DAC" w:rsidRPr="00522DAC">
        <w:rPr>
          <w:rFonts w:asciiTheme="minorHAnsi" w:hAnsiTheme="minorHAnsi"/>
          <w:sz w:val="21"/>
          <w:szCs w:val="21"/>
        </w:rPr>
        <w:t xml:space="preserve"> </w:t>
      </w:r>
    </w:p>
    <w:p w14:paraId="4D386F78" w14:textId="77777777" w:rsidR="00EB71E4" w:rsidRPr="007B1FD6" w:rsidRDefault="00EB71E4" w:rsidP="007B1FD6">
      <w:pPr>
        <w:spacing w:after="160"/>
        <w:rPr>
          <w:rFonts w:ascii="Calibri" w:hAnsi="Calibri" w:cs="Calibri"/>
          <w:sz w:val="21"/>
          <w:szCs w:val="21"/>
        </w:rPr>
      </w:pPr>
      <w:r w:rsidRPr="00522DAC">
        <w:rPr>
          <w:rFonts w:asciiTheme="minorHAnsi" w:hAnsiTheme="minorHAnsi" w:cs="Calibri"/>
          <w:b/>
          <w:bCs/>
          <w:sz w:val="21"/>
          <w:szCs w:val="21"/>
        </w:rPr>
        <w:t xml:space="preserve">Supporting Statement </w:t>
      </w:r>
    </w:p>
    <w:p w14:paraId="09193BD8" w14:textId="77777777" w:rsidR="00EB71E4" w:rsidRPr="00522DAC" w:rsidRDefault="00EB71E4" w:rsidP="00D653C3">
      <w:pPr>
        <w:pStyle w:val="NormalWeb"/>
        <w:spacing w:before="0" w:beforeAutospacing="0" w:after="160" w:afterAutospacing="0"/>
        <w:rPr>
          <w:rFonts w:asciiTheme="minorHAnsi" w:hAnsiTheme="minorHAnsi"/>
          <w:sz w:val="21"/>
          <w:szCs w:val="21"/>
        </w:rPr>
      </w:pPr>
      <w:r w:rsidRPr="00522DAC">
        <w:rPr>
          <w:rFonts w:asciiTheme="minorHAnsi" w:hAnsiTheme="minorHAnsi" w:cs="Calibri"/>
          <w:sz w:val="21"/>
          <w:szCs w:val="21"/>
        </w:rPr>
        <w:t> </w:t>
      </w:r>
      <w:r w:rsidRPr="00522DAC">
        <w:rPr>
          <w:rFonts w:asciiTheme="minorHAnsi" w:hAnsiTheme="minorHAnsi" w:cs="Calibri"/>
          <w:sz w:val="21"/>
          <w:szCs w:val="21"/>
        </w:rPr>
        <w:tab/>
      </w:r>
      <w:r w:rsidR="00BB5C41" w:rsidRPr="00522DAC">
        <w:rPr>
          <w:rFonts w:asciiTheme="minorHAnsi" w:hAnsiTheme="minorHAnsi"/>
          <w:sz w:val="21"/>
          <w:szCs w:val="21"/>
        </w:rPr>
        <w:t xml:space="preserve">As long-term </w:t>
      </w:r>
      <w:r w:rsidR="001D681B" w:rsidRPr="001D681B">
        <w:rPr>
          <w:rFonts w:asciiTheme="minorHAnsi" w:hAnsiTheme="minorHAnsi"/>
          <w:sz w:val="21"/>
          <w:szCs w:val="21"/>
        </w:rPr>
        <w:t>Southern Company</w:t>
      </w:r>
      <w:r w:rsidR="00522DAC" w:rsidRPr="001D681B">
        <w:rPr>
          <w:rFonts w:asciiTheme="minorHAnsi" w:hAnsiTheme="minorHAnsi"/>
          <w:sz w:val="21"/>
          <w:szCs w:val="21"/>
        </w:rPr>
        <w:t xml:space="preserve"> </w:t>
      </w:r>
      <w:r w:rsidR="00BB5C41" w:rsidRPr="00522DAC">
        <w:rPr>
          <w:rFonts w:asciiTheme="minorHAnsi" w:hAnsiTheme="minorHAnsi"/>
          <w:sz w:val="21"/>
          <w:szCs w:val="21"/>
        </w:rPr>
        <w:t xml:space="preserve">shareholders, we support transparency and accountability in corporate spending on political activities.  Disclosure is in the best interest of the Company and its shareholders.  </w:t>
      </w:r>
      <w:r w:rsidR="00F924A7">
        <w:rPr>
          <w:rFonts w:asciiTheme="minorHAnsi" w:hAnsiTheme="minorHAnsi"/>
          <w:sz w:val="21"/>
          <w:szCs w:val="21"/>
        </w:rPr>
        <w:t>T</w:t>
      </w:r>
      <w:r w:rsidR="00BB5C41" w:rsidRPr="00522DAC">
        <w:rPr>
          <w:rFonts w:asciiTheme="minorHAnsi" w:hAnsiTheme="minorHAnsi"/>
          <w:sz w:val="21"/>
          <w:szCs w:val="21"/>
        </w:rPr>
        <w:t xml:space="preserve">he Supreme Court’s 2010 </w:t>
      </w:r>
      <w:r w:rsidR="00BB5C41" w:rsidRPr="00522DAC">
        <w:rPr>
          <w:rFonts w:asciiTheme="minorHAnsi" w:hAnsiTheme="minorHAnsi"/>
          <w:i/>
          <w:sz w:val="21"/>
          <w:szCs w:val="21"/>
        </w:rPr>
        <w:t>Citizens United</w:t>
      </w:r>
      <w:r w:rsidR="00BB5C41" w:rsidRPr="00522DAC">
        <w:rPr>
          <w:rFonts w:asciiTheme="minorHAnsi" w:hAnsiTheme="minorHAnsi"/>
          <w:sz w:val="21"/>
          <w:szCs w:val="21"/>
        </w:rPr>
        <w:t xml:space="preserve"> recognized the importance of disclosure </w:t>
      </w:r>
      <w:r w:rsidR="001D36AE">
        <w:rPr>
          <w:rFonts w:asciiTheme="minorHAnsi" w:hAnsiTheme="minorHAnsi"/>
          <w:sz w:val="21"/>
          <w:szCs w:val="21"/>
        </w:rPr>
        <w:t>when it said</w:t>
      </w:r>
      <w:r w:rsidR="00BB5C41" w:rsidRPr="00522DAC">
        <w:rPr>
          <w:rFonts w:asciiTheme="minorHAnsi" w:hAnsiTheme="minorHAnsi"/>
          <w:sz w:val="21"/>
          <w:szCs w:val="21"/>
        </w:rPr>
        <w:t>: “[D]</w:t>
      </w:r>
      <w:proofErr w:type="spellStart"/>
      <w:r w:rsidR="00BB5C41" w:rsidRPr="00522DAC">
        <w:rPr>
          <w:rFonts w:asciiTheme="minorHAnsi" w:hAnsiTheme="minorHAnsi"/>
          <w:sz w:val="21"/>
          <w:szCs w:val="21"/>
        </w:rPr>
        <w:t>isclosure</w:t>
      </w:r>
      <w:proofErr w:type="spellEnd"/>
      <w:r w:rsidR="00BB5C41" w:rsidRPr="00522DAC">
        <w:rPr>
          <w:rFonts w:asciiTheme="minorHAnsi" w:hAnsiTheme="minorHAnsi"/>
          <w:sz w:val="21"/>
          <w:szCs w:val="21"/>
        </w:rPr>
        <w:t xml:space="preserve"> permits citizens and shareholders to react to the speech of corporate entities in a proper way.  This transparency enables the electorate to make informed decisions and give proper weight to different speakers and messages.”  </w:t>
      </w:r>
    </w:p>
    <w:p w14:paraId="28197A81" w14:textId="77777777" w:rsidR="00EB71E4" w:rsidRPr="00522DAC" w:rsidRDefault="00EB71E4" w:rsidP="00D653C3">
      <w:pPr>
        <w:spacing w:after="160"/>
        <w:rPr>
          <w:rFonts w:asciiTheme="minorHAnsi" w:hAnsiTheme="minorHAnsi" w:cs="Calibri"/>
          <w:sz w:val="21"/>
          <w:szCs w:val="21"/>
        </w:rPr>
      </w:pPr>
      <w:r w:rsidRPr="00522DAC">
        <w:rPr>
          <w:rFonts w:asciiTheme="minorHAnsi" w:hAnsiTheme="minorHAnsi" w:cs="Calibri"/>
          <w:sz w:val="21"/>
          <w:szCs w:val="21"/>
        </w:rPr>
        <w:tab/>
      </w:r>
      <w:r w:rsidR="001D681B">
        <w:rPr>
          <w:rFonts w:asciiTheme="minorHAnsi" w:hAnsiTheme="minorHAnsi" w:cs="Calibri"/>
          <w:sz w:val="21"/>
          <w:szCs w:val="21"/>
        </w:rPr>
        <w:t xml:space="preserve">The Southern Company </w:t>
      </w:r>
      <w:r w:rsidRPr="00522DAC">
        <w:rPr>
          <w:rFonts w:asciiTheme="minorHAnsi" w:hAnsiTheme="minorHAnsi" w:cs="Calibri"/>
          <w:sz w:val="21"/>
          <w:szCs w:val="21"/>
        </w:rPr>
        <w:t>contributed at least $</w:t>
      </w:r>
      <w:r w:rsidR="001D681B" w:rsidRPr="001D681B">
        <w:rPr>
          <w:rFonts w:asciiTheme="minorHAnsi" w:hAnsiTheme="minorHAnsi" w:cs="Calibri"/>
          <w:sz w:val="21"/>
          <w:szCs w:val="21"/>
        </w:rPr>
        <w:t>1 million</w:t>
      </w:r>
      <w:r w:rsidRPr="001D681B">
        <w:rPr>
          <w:rFonts w:asciiTheme="minorHAnsi" w:hAnsiTheme="minorHAnsi" w:cs="Calibri"/>
          <w:sz w:val="21"/>
          <w:szCs w:val="21"/>
        </w:rPr>
        <w:t xml:space="preserve"> </w:t>
      </w:r>
      <w:r w:rsidRPr="00522DAC">
        <w:rPr>
          <w:rFonts w:asciiTheme="minorHAnsi" w:hAnsiTheme="minorHAnsi" w:cs="Calibri"/>
          <w:sz w:val="21"/>
          <w:szCs w:val="21"/>
        </w:rPr>
        <w:t>in corporate funds since the 200</w:t>
      </w:r>
      <w:r w:rsidR="00B73960">
        <w:rPr>
          <w:rFonts w:asciiTheme="minorHAnsi" w:hAnsiTheme="minorHAnsi" w:cs="Calibri"/>
          <w:sz w:val="21"/>
          <w:szCs w:val="21"/>
        </w:rPr>
        <w:t>4</w:t>
      </w:r>
      <w:r w:rsidRPr="00522DAC">
        <w:rPr>
          <w:rFonts w:asciiTheme="minorHAnsi" w:hAnsiTheme="minorHAnsi" w:cs="Calibri"/>
          <w:sz w:val="21"/>
          <w:szCs w:val="21"/>
        </w:rPr>
        <w:t xml:space="preserve"> election cycle. (CQ:  </w:t>
      </w:r>
      <w:hyperlink r:id="rId8" w:history="1">
        <w:r w:rsidRPr="00522DAC">
          <w:rPr>
            <w:rStyle w:val="Hyperlink"/>
            <w:rFonts w:asciiTheme="minorHAnsi" w:hAnsiTheme="minorHAnsi" w:cs="Calibri"/>
            <w:color w:val="auto"/>
            <w:sz w:val="21"/>
            <w:szCs w:val="21"/>
          </w:rPr>
          <w:t>http://moneyline.cq.com</w:t>
        </w:r>
      </w:hyperlink>
      <w:r w:rsidRPr="00522DAC">
        <w:rPr>
          <w:rFonts w:asciiTheme="minorHAnsi" w:hAnsiTheme="minorHAnsi" w:cs="Calibri"/>
          <w:sz w:val="21"/>
          <w:szCs w:val="21"/>
        </w:rPr>
        <w:t xml:space="preserve"> and National Institute on Money in State Politics: </w:t>
      </w:r>
      <w:hyperlink r:id="rId9" w:history="1">
        <w:r w:rsidRPr="00522DAC">
          <w:rPr>
            <w:rStyle w:val="Hyperlink"/>
            <w:rFonts w:asciiTheme="minorHAnsi" w:hAnsiTheme="minorHAnsi" w:cs="Calibri"/>
            <w:color w:val="auto"/>
            <w:sz w:val="21"/>
            <w:szCs w:val="21"/>
          </w:rPr>
          <w:t>http://www.followthemoney.org</w:t>
        </w:r>
      </w:hyperlink>
      <w:r w:rsidRPr="00522DAC">
        <w:rPr>
          <w:rFonts w:asciiTheme="minorHAnsi" w:hAnsiTheme="minorHAnsi" w:cs="Calibri"/>
          <w:sz w:val="21"/>
          <w:szCs w:val="21"/>
        </w:rPr>
        <w:t xml:space="preserve">)  </w:t>
      </w:r>
    </w:p>
    <w:p w14:paraId="747D60B4" w14:textId="77777777" w:rsidR="00BB5C41" w:rsidRPr="00522DAC" w:rsidRDefault="001B1378" w:rsidP="00BD5025">
      <w:pPr>
        <w:spacing w:after="160"/>
        <w:rPr>
          <w:rFonts w:asciiTheme="minorHAnsi" w:hAnsiTheme="minorHAnsi" w:cs="Calibri"/>
          <w:sz w:val="21"/>
          <w:szCs w:val="21"/>
        </w:rPr>
      </w:pPr>
      <w:r w:rsidRPr="00522DAC">
        <w:rPr>
          <w:rFonts w:asciiTheme="minorHAnsi" w:hAnsiTheme="minorHAnsi" w:cs="Calibri"/>
          <w:sz w:val="21"/>
          <w:szCs w:val="21"/>
        </w:rPr>
        <w:tab/>
        <w:t xml:space="preserve">We </w:t>
      </w:r>
      <w:r w:rsidR="001D36AE">
        <w:rPr>
          <w:rFonts w:asciiTheme="minorHAnsi" w:hAnsiTheme="minorHAnsi" w:cs="Calibri"/>
          <w:sz w:val="21"/>
          <w:szCs w:val="21"/>
        </w:rPr>
        <w:t>acknowledge</w:t>
      </w:r>
      <w:r w:rsidRPr="00522DAC">
        <w:rPr>
          <w:rFonts w:asciiTheme="minorHAnsi" w:hAnsiTheme="minorHAnsi" w:cs="Calibri"/>
          <w:sz w:val="21"/>
          <w:szCs w:val="21"/>
        </w:rPr>
        <w:t xml:space="preserve"> that our Company </w:t>
      </w:r>
      <w:r w:rsidRPr="002B309F">
        <w:rPr>
          <w:rFonts w:asciiTheme="minorHAnsi" w:hAnsiTheme="minorHAnsi" w:cs="Calibri"/>
          <w:sz w:val="21"/>
          <w:szCs w:val="21"/>
        </w:rPr>
        <w:t>discloses</w:t>
      </w:r>
      <w:r w:rsidR="00522DAC" w:rsidRPr="002B309F">
        <w:rPr>
          <w:rFonts w:asciiTheme="minorHAnsi" w:hAnsiTheme="minorHAnsi" w:cs="Calibri"/>
          <w:sz w:val="21"/>
          <w:szCs w:val="21"/>
        </w:rPr>
        <w:t xml:space="preserve"> a policy on corporate political spending and</w:t>
      </w:r>
      <w:r w:rsidRPr="002B309F">
        <w:rPr>
          <w:rFonts w:asciiTheme="minorHAnsi" w:hAnsiTheme="minorHAnsi" w:cs="Calibri"/>
          <w:sz w:val="21"/>
          <w:szCs w:val="21"/>
        </w:rPr>
        <w:t xml:space="preserve"> its </w:t>
      </w:r>
      <w:r w:rsidR="00BB486B" w:rsidRPr="002B309F">
        <w:rPr>
          <w:rFonts w:asciiTheme="minorHAnsi" w:hAnsiTheme="minorHAnsi" w:cs="Calibri"/>
          <w:sz w:val="21"/>
          <w:szCs w:val="21"/>
        </w:rPr>
        <w:t xml:space="preserve">contributions to </w:t>
      </w:r>
      <w:r w:rsidRPr="002B309F">
        <w:rPr>
          <w:rFonts w:asciiTheme="minorHAnsi" w:hAnsiTheme="minorHAnsi" w:cs="Calibri"/>
          <w:sz w:val="21"/>
          <w:szCs w:val="21"/>
        </w:rPr>
        <w:t xml:space="preserve">state-level </w:t>
      </w:r>
      <w:r w:rsidR="00BB486B" w:rsidRPr="002B309F">
        <w:rPr>
          <w:rFonts w:asciiTheme="minorHAnsi" w:hAnsiTheme="minorHAnsi" w:cs="Calibri"/>
          <w:sz w:val="21"/>
          <w:szCs w:val="21"/>
        </w:rPr>
        <w:t>candidates</w:t>
      </w:r>
      <w:r w:rsidR="00522DAC" w:rsidRPr="002B309F">
        <w:rPr>
          <w:rFonts w:asciiTheme="minorHAnsi" w:hAnsiTheme="minorHAnsi" w:cs="Calibri"/>
          <w:sz w:val="21"/>
          <w:szCs w:val="21"/>
        </w:rPr>
        <w:t>, parties</w:t>
      </w:r>
      <w:r w:rsidRPr="002B309F">
        <w:rPr>
          <w:rFonts w:asciiTheme="minorHAnsi" w:hAnsiTheme="minorHAnsi" w:cs="Calibri"/>
          <w:sz w:val="21"/>
          <w:szCs w:val="21"/>
        </w:rPr>
        <w:t xml:space="preserve"> </w:t>
      </w:r>
      <w:r w:rsidR="00522DAC" w:rsidRPr="002B309F">
        <w:rPr>
          <w:rFonts w:asciiTheme="minorHAnsi" w:hAnsiTheme="minorHAnsi" w:cs="Calibri"/>
          <w:sz w:val="21"/>
          <w:szCs w:val="21"/>
        </w:rPr>
        <w:t xml:space="preserve">and </w:t>
      </w:r>
      <w:r w:rsidR="00BB5C41" w:rsidRPr="002B309F">
        <w:rPr>
          <w:rFonts w:asciiTheme="minorHAnsi" w:hAnsiTheme="minorHAnsi" w:cs="Calibri"/>
          <w:sz w:val="21"/>
          <w:szCs w:val="21"/>
        </w:rPr>
        <w:t xml:space="preserve">committees </w:t>
      </w:r>
      <w:r w:rsidRPr="00522DAC">
        <w:rPr>
          <w:rFonts w:asciiTheme="minorHAnsi" w:hAnsiTheme="minorHAnsi" w:cs="Calibri"/>
          <w:sz w:val="21"/>
          <w:szCs w:val="21"/>
        </w:rPr>
        <w:t>on its website.</w:t>
      </w:r>
      <w:r w:rsidR="00BB486B" w:rsidRPr="00522DAC">
        <w:rPr>
          <w:rFonts w:asciiTheme="minorHAnsi" w:hAnsiTheme="minorHAnsi" w:cs="Calibri"/>
          <w:sz w:val="21"/>
          <w:szCs w:val="21"/>
        </w:rPr>
        <w:t xml:space="preserve">  </w:t>
      </w:r>
      <w:r w:rsidR="00BB5C41" w:rsidRPr="00522DAC">
        <w:rPr>
          <w:rFonts w:asciiTheme="minorHAnsi" w:hAnsiTheme="minorHAnsi" w:cs="Calibri"/>
          <w:sz w:val="21"/>
          <w:szCs w:val="21"/>
        </w:rPr>
        <w:t xml:space="preserve">We believe this is deficient because the Company </w:t>
      </w:r>
      <w:r w:rsidR="008431F0" w:rsidRPr="00522DAC">
        <w:rPr>
          <w:rFonts w:asciiTheme="minorHAnsi" w:hAnsiTheme="minorHAnsi" w:cs="Calibri"/>
          <w:sz w:val="21"/>
          <w:szCs w:val="21"/>
        </w:rPr>
        <w:t>will not disclose the following expenditures made for political purposes:</w:t>
      </w:r>
    </w:p>
    <w:p w14:paraId="08F3E24A" w14:textId="77777777" w:rsidR="00522DAC" w:rsidRPr="002B309F" w:rsidRDefault="00522DAC" w:rsidP="00522DAC">
      <w:pPr>
        <w:pStyle w:val="ListParagraph"/>
        <w:numPr>
          <w:ilvl w:val="0"/>
          <w:numId w:val="2"/>
        </w:numPr>
        <w:spacing w:after="160"/>
        <w:rPr>
          <w:rFonts w:asciiTheme="minorHAnsi" w:hAnsiTheme="minorHAnsi" w:cs="Calibri"/>
          <w:sz w:val="21"/>
          <w:szCs w:val="21"/>
        </w:rPr>
      </w:pPr>
      <w:r w:rsidRPr="002B309F">
        <w:rPr>
          <w:rFonts w:asciiTheme="minorHAnsi" w:hAnsiTheme="minorHAnsi" w:cs="Calibri"/>
          <w:sz w:val="21"/>
          <w:szCs w:val="21"/>
        </w:rPr>
        <w:t xml:space="preserve">A </w:t>
      </w:r>
      <w:r w:rsidR="003274BC">
        <w:rPr>
          <w:rFonts w:asciiTheme="minorHAnsi" w:hAnsiTheme="minorHAnsi" w:cs="Calibri"/>
          <w:sz w:val="21"/>
          <w:szCs w:val="21"/>
        </w:rPr>
        <w:t xml:space="preserve">complete </w:t>
      </w:r>
      <w:r w:rsidRPr="002B309F">
        <w:rPr>
          <w:rFonts w:asciiTheme="minorHAnsi" w:hAnsiTheme="minorHAnsi" w:cs="Calibri"/>
          <w:sz w:val="21"/>
          <w:szCs w:val="21"/>
        </w:rPr>
        <w:t xml:space="preserve">list of trade associations to which it belongs and how </w:t>
      </w:r>
      <w:r w:rsidR="001D36AE" w:rsidRPr="002B309F">
        <w:rPr>
          <w:rFonts w:asciiTheme="minorHAnsi" w:hAnsiTheme="minorHAnsi" w:cs="Calibri"/>
          <w:sz w:val="21"/>
          <w:szCs w:val="21"/>
        </w:rPr>
        <w:t>much it</w:t>
      </w:r>
      <w:r w:rsidRPr="002B309F">
        <w:rPr>
          <w:rFonts w:asciiTheme="minorHAnsi" w:hAnsiTheme="minorHAnsi" w:cs="Calibri"/>
          <w:sz w:val="21"/>
          <w:szCs w:val="21"/>
        </w:rPr>
        <w:t xml:space="preserve"> gave to each; </w:t>
      </w:r>
      <w:r w:rsidR="002B309F" w:rsidRPr="002B309F">
        <w:rPr>
          <w:rFonts w:asciiTheme="minorHAnsi" w:hAnsiTheme="minorHAnsi" w:cs="Calibri"/>
          <w:sz w:val="21"/>
          <w:szCs w:val="21"/>
        </w:rPr>
        <w:t>and</w:t>
      </w:r>
    </w:p>
    <w:p w14:paraId="0F3CDEF8" w14:textId="77777777" w:rsidR="002B309F" w:rsidRPr="003274BC" w:rsidRDefault="00522DAC" w:rsidP="003274BC">
      <w:pPr>
        <w:pStyle w:val="ListParagraph"/>
        <w:numPr>
          <w:ilvl w:val="0"/>
          <w:numId w:val="2"/>
        </w:numPr>
        <w:spacing w:after="160"/>
        <w:rPr>
          <w:rFonts w:asciiTheme="minorHAnsi" w:hAnsiTheme="minorHAnsi" w:cs="Calibri"/>
          <w:sz w:val="21"/>
          <w:szCs w:val="21"/>
        </w:rPr>
      </w:pPr>
      <w:r w:rsidRPr="002B309F">
        <w:rPr>
          <w:rFonts w:asciiTheme="minorHAnsi" w:hAnsiTheme="minorHAnsi" w:cs="Calibri"/>
          <w:sz w:val="21"/>
          <w:szCs w:val="21"/>
        </w:rPr>
        <w:t>Payments to any organization</w:t>
      </w:r>
      <w:r w:rsidR="009D1BC8">
        <w:rPr>
          <w:rFonts w:asciiTheme="minorHAnsi" w:hAnsiTheme="minorHAnsi" w:cs="Calibri"/>
          <w:sz w:val="21"/>
          <w:szCs w:val="21"/>
        </w:rPr>
        <w:t xml:space="preserve"> </w:t>
      </w:r>
      <w:r w:rsidR="009D1BC8" w:rsidRPr="009D1BC8">
        <w:rPr>
          <w:rFonts w:asciiTheme="minorHAnsi" w:hAnsiTheme="minorHAnsi" w:cs="Calibri"/>
          <w:sz w:val="21"/>
          <w:szCs w:val="21"/>
        </w:rPr>
        <w:t xml:space="preserve">incorporated </w:t>
      </w:r>
      <w:r w:rsidRPr="002B309F">
        <w:rPr>
          <w:rFonts w:asciiTheme="minorHAnsi" w:hAnsiTheme="minorHAnsi" w:cs="Calibri"/>
          <w:sz w:val="21"/>
          <w:szCs w:val="21"/>
        </w:rPr>
        <w:t>under the section 501(c)(4) of the Int</w:t>
      </w:r>
      <w:r w:rsidR="009D1BC8">
        <w:rPr>
          <w:rFonts w:asciiTheme="minorHAnsi" w:hAnsiTheme="minorHAnsi" w:cs="Calibri"/>
          <w:sz w:val="21"/>
          <w:szCs w:val="21"/>
        </w:rPr>
        <w:t>ernal Revenue Service codes.</w:t>
      </w:r>
    </w:p>
    <w:p w14:paraId="2D427868" w14:textId="77777777" w:rsidR="00BD5025" w:rsidRPr="00522DAC" w:rsidRDefault="00BD5025" w:rsidP="00BD5025">
      <w:pPr>
        <w:spacing w:after="160"/>
        <w:rPr>
          <w:rFonts w:asciiTheme="minorHAnsi" w:hAnsiTheme="minorHAnsi" w:cs="Calibri"/>
          <w:sz w:val="21"/>
          <w:szCs w:val="21"/>
        </w:rPr>
      </w:pPr>
      <w:r w:rsidRPr="00522DAC">
        <w:rPr>
          <w:rFonts w:asciiTheme="minorHAnsi" w:hAnsiTheme="minorHAnsi" w:cs="Calibri"/>
          <w:sz w:val="21"/>
          <w:szCs w:val="21"/>
        </w:rPr>
        <w:tab/>
      </w:r>
      <w:r w:rsidR="00D72B59" w:rsidRPr="00522DAC">
        <w:rPr>
          <w:rFonts w:asciiTheme="minorHAnsi" w:hAnsiTheme="minorHAnsi" w:cs="Calibri"/>
          <w:sz w:val="21"/>
          <w:szCs w:val="21"/>
        </w:rPr>
        <w:t>I</w:t>
      </w:r>
      <w:r w:rsidRPr="00522DAC">
        <w:rPr>
          <w:rFonts w:asciiTheme="minorHAnsi" w:hAnsiTheme="minorHAnsi" w:cs="Calibri"/>
          <w:sz w:val="21"/>
          <w:szCs w:val="21"/>
        </w:rPr>
        <w:t xml:space="preserve">nformation on indirect political engagement through trade associations </w:t>
      </w:r>
      <w:r w:rsidR="00D85964" w:rsidRPr="00522DAC">
        <w:rPr>
          <w:rFonts w:asciiTheme="minorHAnsi" w:hAnsiTheme="minorHAnsi" w:cs="Calibri"/>
          <w:sz w:val="21"/>
          <w:szCs w:val="21"/>
        </w:rPr>
        <w:t xml:space="preserve">and </w:t>
      </w:r>
      <w:r w:rsidR="00D622B5" w:rsidRPr="00522DAC">
        <w:rPr>
          <w:rFonts w:asciiTheme="minorHAnsi" w:hAnsiTheme="minorHAnsi" w:cs="Calibri"/>
          <w:sz w:val="21"/>
          <w:szCs w:val="21"/>
        </w:rPr>
        <w:t>501(</w:t>
      </w:r>
      <w:proofErr w:type="gramStart"/>
      <w:r w:rsidR="00D622B5" w:rsidRPr="00522DAC">
        <w:rPr>
          <w:rFonts w:asciiTheme="minorHAnsi" w:hAnsiTheme="minorHAnsi" w:cs="Calibri"/>
          <w:sz w:val="21"/>
          <w:szCs w:val="21"/>
        </w:rPr>
        <w:t>c)4</w:t>
      </w:r>
      <w:proofErr w:type="gramEnd"/>
      <w:r w:rsidR="00D85964" w:rsidRPr="00522DAC">
        <w:rPr>
          <w:rFonts w:asciiTheme="minorHAnsi" w:hAnsiTheme="minorHAnsi" w:cs="Calibri"/>
          <w:sz w:val="21"/>
          <w:szCs w:val="21"/>
        </w:rPr>
        <w:t xml:space="preserve"> groups </w:t>
      </w:r>
      <w:r w:rsidRPr="00522DAC">
        <w:rPr>
          <w:rFonts w:asciiTheme="minorHAnsi" w:hAnsiTheme="minorHAnsi" w:cs="Calibri"/>
          <w:sz w:val="21"/>
          <w:szCs w:val="21"/>
        </w:rPr>
        <w:t xml:space="preserve">cannot be obtained by shareholders unless the Company discloses it.  This proposal asks the Company to disclose all of its political spending, </w:t>
      </w:r>
      <w:r w:rsidR="00D622B5" w:rsidRPr="00522DAC">
        <w:rPr>
          <w:rFonts w:asciiTheme="minorHAnsi" w:hAnsiTheme="minorHAnsi" w:cs="Calibri"/>
          <w:sz w:val="21"/>
          <w:szCs w:val="21"/>
        </w:rPr>
        <w:t>direct and indirect.</w:t>
      </w:r>
      <w:r w:rsidRPr="00522DAC">
        <w:rPr>
          <w:rFonts w:asciiTheme="minorHAnsi" w:hAnsiTheme="minorHAnsi" w:cs="Calibri"/>
          <w:sz w:val="21"/>
          <w:szCs w:val="21"/>
        </w:rPr>
        <w:t xml:space="preserve"> This would bring our Company in line with a growing number of leading companies, including </w:t>
      </w:r>
      <w:r w:rsidR="002B309F" w:rsidRPr="002B309F">
        <w:rPr>
          <w:rFonts w:asciiTheme="minorHAnsi" w:hAnsiTheme="minorHAnsi" w:cs="Calibri"/>
          <w:b/>
          <w:sz w:val="21"/>
          <w:szCs w:val="21"/>
        </w:rPr>
        <w:t>Edison International, Ameren</w:t>
      </w:r>
      <w:r w:rsidR="002B309F" w:rsidRPr="002B309F">
        <w:rPr>
          <w:rFonts w:asciiTheme="minorHAnsi" w:hAnsiTheme="minorHAnsi" w:cs="Calibri"/>
          <w:sz w:val="21"/>
          <w:szCs w:val="21"/>
        </w:rPr>
        <w:t xml:space="preserve"> </w:t>
      </w:r>
      <w:r w:rsidR="002B309F">
        <w:rPr>
          <w:rFonts w:asciiTheme="minorHAnsi" w:hAnsiTheme="minorHAnsi" w:cs="Calibri"/>
          <w:sz w:val="21"/>
          <w:szCs w:val="21"/>
        </w:rPr>
        <w:t xml:space="preserve">and </w:t>
      </w:r>
      <w:r w:rsidR="00860E7B" w:rsidRPr="00860E7B">
        <w:rPr>
          <w:rFonts w:asciiTheme="minorHAnsi" w:hAnsiTheme="minorHAnsi" w:cs="Calibri"/>
          <w:b/>
          <w:sz w:val="21"/>
          <w:szCs w:val="21"/>
        </w:rPr>
        <w:t xml:space="preserve">Noble Energy, </w:t>
      </w:r>
      <w:r w:rsidRPr="00522DAC">
        <w:rPr>
          <w:rFonts w:asciiTheme="minorHAnsi" w:hAnsiTheme="minorHAnsi" w:cs="Calibri"/>
          <w:sz w:val="21"/>
          <w:szCs w:val="21"/>
        </w:rPr>
        <w:t>which support political disclosure and accountability and present this information on their websites.</w:t>
      </w:r>
    </w:p>
    <w:p w14:paraId="6A11FCFA" w14:textId="77777777" w:rsidR="001C3B4E" w:rsidRPr="00522DAC" w:rsidRDefault="00BD5025" w:rsidP="00BD5025">
      <w:pPr>
        <w:spacing w:after="160"/>
        <w:rPr>
          <w:rFonts w:asciiTheme="minorHAnsi" w:hAnsiTheme="minorHAnsi" w:cs="Calibri"/>
          <w:sz w:val="21"/>
          <w:szCs w:val="21"/>
        </w:rPr>
      </w:pPr>
      <w:r w:rsidRPr="00522DAC">
        <w:rPr>
          <w:rFonts w:asciiTheme="minorHAnsi" w:hAnsiTheme="minorHAnsi" w:cs="Calibri"/>
          <w:sz w:val="21"/>
          <w:szCs w:val="21"/>
        </w:rPr>
        <w:tab/>
        <w:t xml:space="preserve">The Company’s Board and its shareholders need comprehensive disclosure to be able to fully evaluate the political use of corporate assets. We urge your support for this critical governance reform. </w:t>
      </w:r>
      <w:r w:rsidR="00EB71E4" w:rsidRPr="00522DAC">
        <w:rPr>
          <w:rFonts w:asciiTheme="minorHAnsi" w:hAnsiTheme="minorHAnsi" w:cs="Calibri"/>
          <w:sz w:val="21"/>
          <w:szCs w:val="21"/>
        </w:rPr>
        <w:t xml:space="preserve"> </w:t>
      </w:r>
    </w:p>
    <w:sectPr w:rsidR="001C3B4E" w:rsidRPr="00522DAC" w:rsidSect="00992D47">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EAA7E" w14:textId="77777777" w:rsidR="003274BC" w:rsidRDefault="003274BC" w:rsidP="0031386B">
      <w:r>
        <w:separator/>
      </w:r>
    </w:p>
  </w:endnote>
  <w:endnote w:type="continuationSeparator" w:id="0">
    <w:p w14:paraId="4192F35E" w14:textId="77777777" w:rsidR="003274BC" w:rsidRDefault="003274BC" w:rsidP="0031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E5D94" w14:textId="77777777" w:rsidR="003274BC" w:rsidRDefault="003274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E039C" w14:textId="77777777" w:rsidR="003274BC" w:rsidRDefault="003274B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7D06" w14:textId="77777777" w:rsidR="003274BC" w:rsidRDefault="003274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302CC" w14:textId="77777777" w:rsidR="003274BC" w:rsidRDefault="003274BC" w:rsidP="0031386B">
      <w:r>
        <w:separator/>
      </w:r>
    </w:p>
  </w:footnote>
  <w:footnote w:type="continuationSeparator" w:id="0">
    <w:p w14:paraId="66341CE9" w14:textId="77777777" w:rsidR="003274BC" w:rsidRDefault="003274BC" w:rsidP="003138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C09CE" w14:textId="6A1B3784" w:rsidR="003274BC" w:rsidRDefault="003274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42F48" w14:textId="322C573B" w:rsidR="009D1BC8" w:rsidRDefault="009D1BC8" w:rsidP="00D74496">
    <w:pPr>
      <w:pStyle w:val="Header"/>
    </w:pPr>
    <w:r>
      <w:t>Proposal to Expand Transparency of Political Contributions – Southern Co.</w:t>
    </w:r>
  </w:p>
  <w:p w14:paraId="4026A16B" w14:textId="77777777" w:rsidR="003274BC" w:rsidRPr="00992D47" w:rsidRDefault="009D1BC8" w:rsidP="00D74496">
    <w:pPr>
      <w:pStyle w:val="Header"/>
      <w:rPr>
        <w:rFonts w:ascii="Calibri" w:hAnsi="Calibri" w:cs="Calibri"/>
        <w:sz w:val="16"/>
        <w:szCs w:val="16"/>
      </w:rPr>
    </w:pPr>
    <w:r>
      <w:t>Filed by Clean Yield Asset Management for 2016 Proxy Statement</w:t>
    </w:r>
    <w:r w:rsidR="003274BC">
      <w:tab/>
    </w:r>
    <w:r w:rsidR="003274BC">
      <w:tab/>
    </w:r>
    <w:r w:rsidR="003274BC" w:rsidRPr="00992D47">
      <w:rPr>
        <w:rFonts w:ascii="Calibri" w:hAnsi="Calibri" w:cs="Calibri"/>
        <w:sz w:val="16"/>
        <w:szCs w:val="16"/>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CEAAA" w14:textId="312DAEED" w:rsidR="003274BC" w:rsidRDefault="003274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6766B"/>
    <w:multiLevelType w:val="hybridMultilevel"/>
    <w:tmpl w:val="8C9A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1161B9"/>
    <w:multiLevelType w:val="hybridMultilevel"/>
    <w:tmpl w:val="5A841128"/>
    <w:lvl w:ilvl="0" w:tplc="78723902">
      <w:start w:val="1"/>
      <w:numFmt w:val="decimal"/>
      <w:lvlText w:val="%1."/>
      <w:lvlJc w:val="left"/>
      <w:pPr>
        <w:ind w:left="2385" w:hanging="94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4"/>
    <w:rsid w:val="00014AB4"/>
    <w:rsid w:val="00075AE4"/>
    <w:rsid w:val="001B1378"/>
    <w:rsid w:val="001C3B4E"/>
    <w:rsid w:val="001D36AE"/>
    <w:rsid w:val="001D681B"/>
    <w:rsid w:val="00294774"/>
    <w:rsid w:val="002B309F"/>
    <w:rsid w:val="0031386B"/>
    <w:rsid w:val="003274BC"/>
    <w:rsid w:val="0035791C"/>
    <w:rsid w:val="003F218F"/>
    <w:rsid w:val="00417475"/>
    <w:rsid w:val="00453D6D"/>
    <w:rsid w:val="00480064"/>
    <w:rsid w:val="00480E01"/>
    <w:rsid w:val="004C182A"/>
    <w:rsid w:val="00522DAC"/>
    <w:rsid w:val="00572F99"/>
    <w:rsid w:val="005E774B"/>
    <w:rsid w:val="005F650D"/>
    <w:rsid w:val="00621D80"/>
    <w:rsid w:val="00674885"/>
    <w:rsid w:val="00754BCA"/>
    <w:rsid w:val="007B1FD6"/>
    <w:rsid w:val="007F3D6A"/>
    <w:rsid w:val="00833BE3"/>
    <w:rsid w:val="008431F0"/>
    <w:rsid w:val="00860E7B"/>
    <w:rsid w:val="008D4C8B"/>
    <w:rsid w:val="00907659"/>
    <w:rsid w:val="0092347C"/>
    <w:rsid w:val="00924C37"/>
    <w:rsid w:val="00946FA9"/>
    <w:rsid w:val="00956BDD"/>
    <w:rsid w:val="0098287F"/>
    <w:rsid w:val="00992D47"/>
    <w:rsid w:val="009D1BC8"/>
    <w:rsid w:val="009F7E7C"/>
    <w:rsid w:val="00A06B53"/>
    <w:rsid w:val="00A114CE"/>
    <w:rsid w:val="00AB5B08"/>
    <w:rsid w:val="00AD350A"/>
    <w:rsid w:val="00AF53FB"/>
    <w:rsid w:val="00B508D4"/>
    <w:rsid w:val="00B73960"/>
    <w:rsid w:val="00BA5EBA"/>
    <w:rsid w:val="00BB486B"/>
    <w:rsid w:val="00BB5C41"/>
    <w:rsid w:val="00BD5025"/>
    <w:rsid w:val="00C11F36"/>
    <w:rsid w:val="00C65D93"/>
    <w:rsid w:val="00C7757E"/>
    <w:rsid w:val="00D10956"/>
    <w:rsid w:val="00D150FE"/>
    <w:rsid w:val="00D622B5"/>
    <w:rsid w:val="00D653C3"/>
    <w:rsid w:val="00D66535"/>
    <w:rsid w:val="00D72B59"/>
    <w:rsid w:val="00D74496"/>
    <w:rsid w:val="00D85964"/>
    <w:rsid w:val="00DA68A9"/>
    <w:rsid w:val="00DD73F6"/>
    <w:rsid w:val="00EB71E4"/>
    <w:rsid w:val="00F03E64"/>
    <w:rsid w:val="00F30657"/>
    <w:rsid w:val="00F70BBF"/>
    <w:rsid w:val="00F924A7"/>
    <w:rsid w:val="00FA1B2F"/>
    <w:rsid w:val="00FB6531"/>
    <w:rsid w:val="00FD14C7"/>
    <w:rsid w:val="00FD1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027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1E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1E4"/>
    <w:pPr>
      <w:ind w:left="720"/>
      <w:contextualSpacing/>
    </w:pPr>
  </w:style>
  <w:style w:type="paragraph" w:styleId="NormalWeb">
    <w:name w:val="Normal (Web)"/>
    <w:basedOn w:val="Normal"/>
    <w:rsid w:val="00EB71E4"/>
    <w:pPr>
      <w:spacing w:before="100" w:beforeAutospacing="1" w:after="100" w:afterAutospacing="1"/>
    </w:pPr>
  </w:style>
  <w:style w:type="character" w:styleId="Hyperlink">
    <w:name w:val="Hyperlink"/>
    <w:rsid w:val="00EB71E4"/>
    <w:rPr>
      <w:color w:val="0000FF"/>
      <w:u w:val="single"/>
    </w:rPr>
  </w:style>
  <w:style w:type="paragraph" w:styleId="BalloonText">
    <w:name w:val="Balloon Text"/>
    <w:basedOn w:val="Normal"/>
    <w:link w:val="BalloonTextChar"/>
    <w:uiPriority w:val="99"/>
    <w:semiHidden/>
    <w:unhideWhenUsed/>
    <w:rsid w:val="001C3B4E"/>
    <w:rPr>
      <w:rFonts w:ascii="Tahoma" w:hAnsi="Tahoma" w:cs="Tahoma"/>
      <w:sz w:val="16"/>
      <w:szCs w:val="16"/>
    </w:rPr>
  </w:style>
  <w:style w:type="character" w:customStyle="1" w:styleId="BalloonTextChar">
    <w:name w:val="Balloon Text Char"/>
    <w:link w:val="BalloonText"/>
    <w:uiPriority w:val="99"/>
    <w:semiHidden/>
    <w:rsid w:val="001C3B4E"/>
    <w:rPr>
      <w:rFonts w:ascii="Tahoma" w:eastAsia="Times New Roman" w:hAnsi="Tahoma" w:cs="Tahoma"/>
      <w:sz w:val="16"/>
      <w:szCs w:val="16"/>
    </w:rPr>
  </w:style>
  <w:style w:type="paragraph" w:styleId="Header">
    <w:name w:val="header"/>
    <w:basedOn w:val="Normal"/>
    <w:link w:val="HeaderChar"/>
    <w:uiPriority w:val="99"/>
    <w:unhideWhenUsed/>
    <w:rsid w:val="0031386B"/>
    <w:pPr>
      <w:tabs>
        <w:tab w:val="center" w:pos="4680"/>
        <w:tab w:val="right" w:pos="9360"/>
      </w:tabs>
    </w:pPr>
  </w:style>
  <w:style w:type="character" w:customStyle="1" w:styleId="HeaderChar">
    <w:name w:val="Header Char"/>
    <w:link w:val="Header"/>
    <w:uiPriority w:val="99"/>
    <w:rsid w:val="0031386B"/>
    <w:rPr>
      <w:rFonts w:ascii="Times New Roman" w:eastAsia="Times New Roman" w:hAnsi="Times New Roman"/>
      <w:sz w:val="24"/>
      <w:szCs w:val="24"/>
    </w:rPr>
  </w:style>
  <w:style w:type="paragraph" w:styleId="Footer">
    <w:name w:val="footer"/>
    <w:basedOn w:val="Normal"/>
    <w:link w:val="FooterChar"/>
    <w:uiPriority w:val="99"/>
    <w:unhideWhenUsed/>
    <w:rsid w:val="0031386B"/>
    <w:pPr>
      <w:tabs>
        <w:tab w:val="center" w:pos="4680"/>
        <w:tab w:val="right" w:pos="9360"/>
      </w:tabs>
    </w:pPr>
  </w:style>
  <w:style w:type="character" w:customStyle="1" w:styleId="FooterChar">
    <w:name w:val="Footer Char"/>
    <w:link w:val="Footer"/>
    <w:uiPriority w:val="99"/>
    <w:rsid w:val="0031386B"/>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1E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1E4"/>
    <w:pPr>
      <w:ind w:left="720"/>
      <w:contextualSpacing/>
    </w:pPr>
  </w:style>
  <w:style w:type="paragraph" w:styleId="NormalWeb">
    <w:name w:val="Normal (Web)"/>
    <w:basedOn w:val="Normal"/>
    <w:rsid w:val="00EB71E4"/>
    <w:pPr>
      <w:spacing w:before="100" w:beforeAutospacing="1" w:after="100" w:afterAutospacing="1"/>
    </w:pPr>
  </w:style>
  <w:style w:type="character" w:styleId="Hyperlink">
    <w:name w:val="Hyperlink"/>
    <w:rsid w:val="00EB71E4"/>
    <w:rPr>
      <w:color w:val="0000FF"/>
      <w:u w:val="single"/>
    </w:rPr>
  </w:style>
  <w:style w:type="paragraph" w:styleId="BalloonText">
    <w:name w:val="Balloon Text"/>
    <w:basedOn w:val="Normal"/>
    <w:link w:val="BalloonTextChar"/>
    <w:uiPriority w:val="99"/>
    <w:semiHidden/>
    <w:unhideWhenUsed/>
    <w:rsid w:val="001C3B4E"/>
    <w:rPr>
      <w:rFonts w:ascii="Tahoma" w:hAnsi="Tahoma" w:cs="Tahoma"/>
      <w:sz w:val="16"/>
      <w:szCs w:val="16"/>
    </w:rPr>
  </w:style>
  <w:style w:type="character" w:customStyle="1" w:styleId="BalloonTextChar">
    <w:name w:val="Balloon Text Char"/>
    <w:link w:val="BalloonText"/>
    <w:uiPriority w:val="99"/>
    <w:semiHidden/>
    <w:rsid w:val="001C3B4E"/>
    <w:rPr>
      <w:rFonts w:ascii="Tahoma" w:eastAsia="Times New Roman" w:hAnsi="Tahoma" w:cs="Tahoma"/>
      <w:sz w:val="16"/>
      <w:szCs w:val="16"/>
    </w:rPr>
  </w:style>
  <w:style w:type="paragraph" w:styleId="Header">
    <w:name w:val="header"/>
    <w:basedOn w:val="Normal"/>
    <w:link w:val="HeaderChar"/>
    <w:uiPriority w:val="99"/>
    <w:unhideWhenUsed/>
    <w:rsid w:val="0031386B"/>
    <w:pPr>
      <w:tabs>
        <w:tab w:val="center" w:pos="4680"/>
        <w:tab w:val="right" w:pos="9360"/>
      </w:tabs>
    </w:pPr>
  </w:style>
  <w:style w:type="character" w:customStyle="1" w:styleId="HeaderChar">
    <w:name w:val="Header Char"/>
    <w:link w:val="Header"/>
    <w:uiPriority w:val="99"/>
    <w:rsid w:val="0031386B"/>
    <w:rPr>
      <w:rFonts w:ascii="Times New Roman" w:eastAsia="Times New Roman" w:hAnsi="Times New Roman"/>
      <w:sz w:val="24"/>
      <w:szCs w:val="24"/>
    </w:rPr>
  </w:style>
  <w:style w:type="paragraph" w:styleId="Footer">
    <w:name w:val="footer"/>
    <w:basedOn w:val="Normal"/>
    <w:link w:val="FooterChar"/>
    <w:uiPriority w:val="99"/>
    <w:unhideWhenUsed/>
    <w:rsid w:val="0031386B"/>
    <w:pPr>
      <w:tabs>
        <w:tab w:val="center" w:pos="4680"/>
        <w:tab w:val="right" w:pos="9360"/>
      </w:tabs>
    </w:pPr>
  </w:style>
  <w:style w:type="character" w:customStyle="1" w:styleId="FooterChar">
    <w:name w:val="Footer Char"/>
    <w:link w:val="Footer"/>
    <w:uiPriority w:val="99"/>
    <w:rsid w:val="0031386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9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oneyline.cq.com/pml/home.do" TargetMode="External"/><Relationship Id="rId9" Type="http://schemas.openxmlformats.org/officeDocument/2006/relationships/hyperlink" Target="http://www.followthemoney.org/index.phtml"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holder%20Advocacy\2015%20Season\Resolutions\2015%20CPA%20Resolution%20-%20Indirect%20Foc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\Shareholder Advocacy\2015 Season\Resolutions\2015 CPA Resolution - Indirect Focus.dotx</Template>
  <TotalTime>12</TotalTime>
  <Pages>1</Pages>
  <Words>507</Words>
  <Characters>2894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Links>
    <vt:vector size="12" baseType="variant">
      <vt:variant>
        <vt:i4>393295</vt:i4>
      </vt:variant>
      <vt:variant>
        <vt:i4>3</vt:i4>
      </vt:variant>
      <vt:variant>
        <vt:i4>0</vt:i4>
      </vt:variant>
      <vt:variant>
        <vt:i4>5</vt:i4>
      </vt:variant>
      <vt:variant>
        <vt:lpwstr>http://www.followthemoney.org/index.phtml</vt:lpwstr>
      </vt:variant>
      <vt:variant>
        <vt:lpwstr/>
      </vt:variant>
      <vt:variant>
        <vt:i4>8126567</vt:i4>
      </vt:variant>
      <vt:variant>
        <vt:i4>0</vt:i4>
      </vt:variant>
      <vt:variant>
        <vt:i4>0</vt:i4>
      </vt:variant>
      <vt:variant>
        <vt:i4>5</vt:i4>
      </vt:variant>
      <vt:variant>
        <vt:lpwstr>http://moneyline.cq.com/pml/home.do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Shelley Alpern</cp:lastModifiedBy>
  <cp:revision>4</cp:revision>
  <dcterms:created xsi:type="dcterms:W3CDTF">2015-12-01T20:33:00Z</dcterms:created>
  <dcterms:modified xsi:type="dcterms:W3CDTF">2015-12-08T21:19:00Z</dcterms:modified>
</cp:coreProperties>
</file>